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re"/>
      </w:pPr>
      <w:r>
        <w:t xml:space="preserve">MODÈLE — Charte d'utilisation de l'intelligence artificielle</w:t>
      </w:r>
    </w:p>
    <w:p>
      <w:r>
        <w:t xml:space="preserve">&gt; 📄 Document prêt à remplir, remis aux participants du chapitre &gt; `10_Pedagogie/modules-systemeio/DroitNumerique/CharteIA/chapitre_charte-ia-entreprise.md`. &gt; Tout ce qui est entre `[crochets]` est à &gt; compléter ; tout ce qui est en </w:t>
      </w:r>
      <w:r>
        <w:rPr>
          <w:i/>
        </w:rPr>
        <w:t xml:space="preserve">italique entre parenthèses</w:t>
      </w:r>
      <w:r>
        <w:t xml:space="preserve"> est un commentaire &gt; de rédaction </w:t>
      </w:r>
      <w:r>
        <w:rPr>
          <w:b/>
        </w:rPr>
        <w:t xml:space="preserve">à supprimer</w:t>
      </w:r>
      <w:r>
        <w:t xml:space="preserve"> avant diffusion. &gt; ⚖️ État du droit vérifié le 19/09/2026. &gt; &gt; </w:t>
      </w:r>
      <w:r>
        <w:rPr>
          <w:b/>
        </w:rPr>
        <w:t xml:space="preserve">Ce modèle ne dispense pas d'un examen au cas par cas.</w:t>
      </w:r>
      <w:r>
        <w:t xml:space="preserve"> Acadigit forme à &gt; l'usage de l'IA et à la conformité ; la rédaction définitive gagne à être &gt; relue par un conseil en droit social ou en droit du numérique, en particulier &gt; l'articulation avec votre règlement intérieur.</w:t>
      </w:r>
    </w:p>
    <w:p>
      <w:r>
        <w:br w:type="page"/>
      </w:r>
    </w:p>
    <w:p>
      <w:pPr>
        <w:pStyle w:val="Titre1"/>
      </w:pPr>
      <w:r>
        <w:t xml:space="preserve">Avant de remplir : les quatre décisions à prendre</w:t>
      </w:r>
    </w:p>
    <w:tbl>
      <w:tblPr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blGrid>
        <w:gridCol w:w="2880"/>
        "/&gt;"/&gt;
      </w:tblGrid>
      <w:tr>
        <w:tc>
          <w:tcPr>
            <w:tcW w:w="2880" w:type="dxa"/>
          </w:tcPr>
          <w:p>
            <w:r>
              <w:rPr>
                <w:b/>
              </w:rPr>
              <w:t xml:space="preserve">Décision</w:t>
            </w:r>
          </w:p>
        </w:tc>
        <w:tc>
          <w:tcPr>
            <w:tcW w:w="2880" w:type="dxa"/>
          </w:tcPr>
          <w:p>
            <w:r>
              <w:rPr>
                <w:b/>
              </w:rPr>
              <w:t xml:space="preserve">Options</w:t>
            </w:r>
          </w:p>
        </w:tc>
        <w:tc>
          <w:tcPr>
            <w:tcW w:w="2880" w:type="dxa"/>
          </w:tcPr>
          <w:p>
            <w:r>
              <w:rPr>
                <w:b/>
              </w:rPr>
              <w:t xml:space="preserve">Où elle se répercute</w:t>
            </w:r>
          </w:p>
        </w:tc>
      </w:tr>
      <w:tr>
        <w:tc>
          <w:tcPr>
            <w:tcW w:w="2880" w:type="dxa"/>
          </w:tcPr>
          <w:p>
            <w:r>
              <w:t xml:space="preserve">Rattachement juridique</w:t>
            </w:r>
          </w:p>
        </w:tc>
        <w:tc>
          <w:tcPr>
            <w:tcW w:w="2880" w:type="dxa"/>
          </w:tcPr>
          <w:p>
            <w:r>
              <w:t xml:space="preserve">Intégrée au règlement intérieur / autonome avec renvoi depuis le RI / adossée au contrat de travail (moins de 50 salariés)</w:t>
            </w:r>
          </w:p>
        </w:tc>
        <w:tc>
          <w:tcPr>
            <w:tcW w:w="2880" w:type="dxa"/>
          </w:tcPr>
          <w:p>
            <w:r>
              <w:t xml:space="preserve">Article 6 et checklist d'opposabilité</w:t>
            </w:r>
          </w:p>
        </w:tc>
      </w:tr>
      <w:tr>
        <w:tc>
          <w:tcPr>
            <w:tcW w:w="2880" w:type="dxa"/>
          </w:tcPr>
          <w:p>
            <w:r>
              <w:t xml:space="preserve">Périmètre des personnes</w:t>
            </w:r>
          </w:p>
        </w:tc>
        <w:tc>
          <w:tcPr>
            <w:tcW w:w="2880" w:type="dxa"/>
          </w:tcPr>
          <w:p>
            <w:r>
              <w:t xml:space="preserve">Salariés seuls / + alternants et stagiaires / + prestataires</w:t>
            </w:r>
          </w:p>
        </w:tc>
        <w:tc>
          <w:tcPr>
            <w:tcW w:w="2880" w:type="dxa"/>
          </w:tcPr>
          <w:p>
            <w:r>
              <w:t xml:space="preserve">Article 1</w:t>
            </w:r>
          </w:p>
        </w:tc>
      </w:tr>
      <w:tr>
        <w:tc>
          <w:tcPr>
            <w:tcW w:w="2880" w:type="dxa"/>
          </w:tcPr>
          <w:p>
            <w:r>
              <w:t xml:space="preserve">Périmètre des outils</w:t>
            </w:r>
          </w:p>
        </w:tc>
        <w:tc>
          <w:tcPr>
            <w:tcW w:w="2880" w:type="dxa"/>
          </w:tcPr>
          <w:p>
            <w:r>
              <w:t xml:space="preserve">Outils fournis par l'entreprise seuls / + outils publics utilisés à titre professionnel</w:t>
            </w:r>
          </w:p>
        </w:tc>
        <w:tc>
          <w:tcPr>
            <w:tcW w:w="2880" w:type="dxa"/>
          </w:tcPr>
          <w:p>
            <w:r>
              <w:t xml:space="preserve">Article 1 et annexe 1</w:t>
            </w:r>
          </w:p>
        </w:tc>
      </w:tr>
      <w:tr>
        <w:tc>
          <w:tcPr>
            <w:tcW w:w="2880" w:type="dxa"/>
          </w:tcPr>
          <w:p>
            <w:r>
              <w:t xml:space="preserve">Référent IA</w:t>
            </w:r>
          </w:p>
        </w:tc>
        <w:tc>
          <w:tcPr>
            <w:tcW w:w="2880" w:type="dxa"/>
          </w:tcPr>
          <w:p>
            <w:r>
              <w:t xml:space="preserve">Nom, service, suppléant</w:t>
            </w:r>
          </w:p>
        </w:tc>
        <w:tc>
          <w:tcPr>
            <w:tcW w:w="2880" w:type="dxa"/>
          </w:tcPr>
          <w:p>
            <w:r>
              <w:t xml:space="preserve">Article 6 et annexe 1</w:t>
            </w:r>
          </w:p>
        </w:tc>
      </w:tr>
    </w:tbl>
    <w:p/>
    <w:p>
      <w:r>
        <w:t xml:space="preserve">Ces quatre décisions se prennent </w:t>
      </w:r>
      <w:r>
        <w:rPr>
          <w:b/>
        </w:rPr>
        <w:t xml:space="preserve">après</w:t>
      </w:r>
      <w:r>
        <w:t xml:space="preserve"> la cartographie des usages réels (étape 1 du chapitre). Une charte écrite avant cette cartographie encadre des usages imaginaires.</w:t>
      </w:r>
    </w:p>
    <w:p>
      <w:r>
        <w:br w:type="page"/>
      </w:r>
    </w:p>
    <w:p>
      <w:r>
        <w:br w:type="page"/>
      </w:r>
    </w:p>
    <w:p>
      <w:pPr>
        <w:pStyle w:val="Titre1"/>
      </w:pPr>
      <w:r>
        <w:t xml:space="preserve">Charte d'utilisation de l'intelligence artificielle</w:t>
      </w:r>
    </w:p>
    <w:p>
      <w:r>
        <w:rPr>
          <w:b/>
        </w:rPr>
        <w:t xml:space="preserve">[Nom de l'entreprise]</w:t>
      </w:r>
      <w:r>
        <w:t xml:space="preserve"> — version </w:t>
      </w:r>
      <w:r>
        <w:rPr>
          <w:b/>
        </w:rPr>
        <w:t xml:space="preserve">[1.0]</w:t>
      </w:r>
      <w:r>
        <w:t xml:space="preserve"> du </w:t>
      </w:r>
      <w:r>
        <w:rPr>
          <w:b/>
        </w:rPr>
        <w:t xml:space="preserve">[JJ/MM/AAAA]</w:t>
      </w:r>
    </w:p>
    <w:p>
      <w:pPr>
        <w:pStyle w:val="Titre1"/>
      </w:pPr>
      <w:r>
        <w:t xml:space="preserve">Préambule</w:t>
      </w:r>
    </w:p>
    <w:p>
      <w:r>
        <w:t xml:space="preserve">L'intelligence artificielle fait gagner du temps à [Nom de l'entreprise]. Mal encadrée, elle expose l'entreprise à trois risques concrets : la fuite de données confidentielles ou personnelles, la diffusion d'informations fausses présentées comme exactes, et l'engagement de sa responsabilité sur un résultat non vérifié.</w:t>
      </w:r>
    </w:p>
    <w:p>
      <w:r>
        <w:t xml:space="preserve">La présente charte fixe les règles minimales d'usage des outils d'intelligence artificielle au sein de l'entreprise. Elle s'inscrit dans le cadre du règlement (UE) 2024/1689 sur l'intelligence artificielle (AI Act) et du règlement (UE) 2016/679 relatif à la protection des données (RGPD).</w:t>
      </w:r>
    </w:p>
    <w:p>
      <w:pPr>
        <w:pStyle w:val="Titre1"/>
      </w:pPr>
      <w:r>
        <w:t xml:space="preserve">Article 1 — Champ d'application</w:t>
      </w:r>
    </w:p>
    <w:p>
      <w:r>
        <w:t xml:space="preserve">La présente charte s'applique à l'ensemble des collaborateurs de [Nom de l'entreprise] : </w:t>
      </w:r>
      <w:r>
        <w:rPr>
          <w:b/>
        </w:rPr>
        <w:t xml:space="preserve">[salariés / alternants / stagiaires / intérimaires — à préciser]</w:t>
      </w:r>
      <w:r>
        <w:t xml:space="preserve">.</w:t>
      </w:r>
    </w:p>
    <w:p>
      <w:r>
        <w:rPr>
          <w:i/>
        </w:rPr>
        <w:t xml:space="preserve">(Volet externe, à conserver si vous travaillez avec des prestataires :)</w:t>
      </w:r>
      <w:r>
        <w:t xml:space="preserve"> Elle s'applique également aux prestataires et sous-traitants intervenant pour le compte de l'entreprise, par renvoi depuis </w:t>
      </w:r>
      <w:r>
        <w:rPr>
          <w:b/>
        </w:rPr>
        <w:t xml:space="preserve">[les conditions générales d'achat / le contrat cadre / l'article [X] du contrat de prestation]</w:t>
      </w:r>
      <w:r>
        <w:t xml:space="preserve">.</w:t>
      </w:r>
    </w:p>
    <w:p>
      <w:r>
        <w:t xml:space="preserve">Elle couvre </w:t>
      </w:r>
      <w:r>
        <w:rPr>
          <w:b/>
        </w:rPr>
        <w:t xml:space="preserve">tout outil d'intelligence artificielle</w:t>
      </w:r>
      <w:r>
        <w:t xml:space="preserve">, qu'il soit fourni par l'entreprise ou accessible publiquement, dès lors qu'il est utilisé dans un cadre professionnel — y compris depuis un équipement personnel.</w:t>
      </w:r>
    </w:p>
    <w:p>
      <w:pPr>
        <w:pStyle w:val="Titre1"/>
      </w:pPr>
      <w:r>
        <w:t xml:space="preserve">Article 2 — Les quatre principes non négociables</w:t>
      </w:r>
    </w:p>
    <w:p>
      <w:r>
        <w:t xml:space="preserve">1. </w:t>
      </w:r>
      <w:r>
        <w:rPr>
          <w:b/>
        </w:rPr>
        <w:t xml:space="preserve">Supervision humaine</w:t>
      </w:r>
      <w:r>
        <w:t xml:space="preserve"> — Aucun résultat produit par une IA n'est utilisé    sans relecture et validation par une personne identifiée. 2. </w:t>
      </w:r>
      <w:r>
        <w:rPr>
          <w:b/>
        </w:rPr>
        <w:t xml:space="preserve">Confidentialité</w:t>
      </w:r>
      <w:r>
        <w:t xml:space="preserve"> — Aucune donnée confidentielle, personnelle ou sensible    n'est saisie dans un outil qui ne figure pas sur la liste des outils validés    (annexe 1). 3. </w:t>
      </w:r>
      <w:r>
        <w:rPr>
          <w:b/>
        </w:rPr>
        <w:t xml:space="preserve">Esprit critique</w:t>
      </w:r>
      <w:r>
        <w:t xml:space="preserve"> — Tout résultat est vérifié avant usage : sources,    chiffres, citations, références juridiques et techniques. 4. </w:t>
      </w:r>
      <w:r>
        <w:rPr>
          <w:b/>
        </w:rPr>
        <w:t xml:space="preserve">Transparence</w:t>
      </w:r>
      <w:r>
        <w:t xml:space="preserve"> — L'usage de l'IA est signalé lorsque le résultat est    diffusé à un tiers, conformément à l'article 50 de l'AI Act.</w:t>
      </w:r>
    </w:p>
    <w:p>
      <w:pPr>
        <w:pStyle w:val="Titre1"/>
      </w:pPr>
      <w:r>
        <w:t xml:space="preserve">Article 3 — Les trois régimes d'usage</w:t>
      </w:r>
    </w:p>
    <w:p>
      <w:r>
        <w:t xml:space="preserve">Chaque usage de l'IA relève de l'un des trois régimes suivants :</w:t>
      </w:r>
    </w:p>
    <w:p>
      <w:pPr>
        <w:pStyle w:val="Listepuces"/>
      </w:pPr>
      <w:r>
        <w:rPr>
          <w:b/>
        </w:rPr>
        <w:t xml:space="preserve">AUTORISÉ</w:t>
      </w:r>
      <w:r>
        <w:t xml:space="preserve"> — Aucune donnée sensible en entrée, résultat relu avant usage.</w:t>
      </w:r>
    </w:p>
    <w:p>
      <w:pPr>
        <w:pStyle w:val="Listepuces"/>
      </w:pPr>
      <w:r>
        <w:rPr>
          <w:b/>
        </w:rPr>
        <w:t xml:space="preserve">RESTREINT</w:t>
      </w:r>
      <w:r>
        <w:t xml:space="preserve"> — Autorisé sous condition stricte et nommée : anonymisation   préalable, supervision humaine renforcée, revue obligatoire par [service].</w:t>
      </w:r>
    </w:p>
    <w:p>
      <w:pPr>
        <w:pStyle w:val="Listepuces"/>
      </w:pPr>
      <w:r>
        <w:rPr>
          <w:b/>
        </w:rPr>
        <w:t xml:space="preserve">INTERDIT</w:t>
      </w:r>
      <w:r>
        <w:t xml:space="preserve"> — Saisie de toute donnée personnelle, confidentielle ou couverte   par un secret ; diffusion d'un contenu non relu.</w:t>
      </w:r>
    </w:p>
    <w:p>
      <w:pPr>
        <w:pStyle w:val="Sous-titre"/>
      </w:pPr>
      <w:r>
        <w:t xml:space="preserve">(Tableau à remplir avec VOS usages réels. Les lignes ci-dessous sont des exemples : une ligne générique ne protège personne. C'est ce tableau qui détermine la valeur de toute la charte.)</w:t>
      </w:r>
    </w:p>
    <w:tbl>
      <w:tblPr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blGrid>
        <w:gridCol w:w="2160"/>
        "/&gt;"/&gt;"/&gt;
      </w:tblGrid>
      <w:tr>
        <w:tc>
          <w:tcPr>
            <w:tcW w:w="2160" w:type="dxa"/>
          </w:tcPr>
          <w:p>
            <w:r>
              <w:rPr>
                <w:b/>
              </w:rPr>
              <w:t xml:space="preserve">Usage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Exemple concret dans l'entreprise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Régime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Condition</w:t>
            </w:r>
          </w:p>
        </w:tc>
      </w:tr>
      <w:tr>
        <w:tc>
          <w:tcPr>
            <w:tcW w:w="2160" w:type="dxa"/>
          </w:tcPr>
          <w:p>
            <w:r>
              <w:t xml:space="preserve">Reformulation de contenu non confidentiel</w:t>
            </w:r>
          </w:p>
        </w:tc>
        <w:tc>
          <w:tcPr>
            <w:tcW w:w="2160" w:type="dxa"/>
          </w:tcPr>
          <w:p>
            <w:r>
              <w:t xml:space="preserve">Réécrire un brouillon de note interne</w:t>
            </w:r>
          </w:p>
        </w:tc>
        <w:tc>
          <w:tcPr>
            <w:tcW w:w="2160" w:type="dxa"/>
          </w:tcPr>
          <w:p>
            <w:r>
              <w:t xml:space="preserve">AUTORISÉ</w:t>
            </w:r>
          </w:p>
        </w:tc>
        <w:tc>
          <w:tcPr>
            <w:tcW w:w="2160" w:type="dxa"/>
          </w:tcPr>
          <w:p>
            <w:r>
              <w:t xml:space="preserve">Relecture avant envoi</w:t>
            </w:r>
          </w:p>
        </w:tc>
      </w:tr>
      <w:tr>
        <w:tc>
          <w:tcPr>
            <w:tcW w:w="2160" w:type="dxa"/>
          </w:tcPr>
          <w:p>
            <w:r>
              <w:t xml:space="preserve">Traduction de documents publics</w:t>
            </w:r>
          </w:p>
        </w:tc>
        <w:tc>
          <w:tcPr>
            <w:tcW w:w="2160" w:type="dxa"/>
          </w:tcPr>
          <w:p>
            <w:r>
              <w:t xml:space="preserve">Traduire une plaquette commerciale</w:t>
            </w:r>
          </w:p>
        </w:tc>
        <w:tc>
          <w:tcPr>
            <w:tcW w:w="2160" w:type="dxa"/>
          </w:tcPr>
          <w:p>
            <w:r>
              <w:t xml:space="preserve">AUTORISÉ</w:t>
            </w:r>
          </w:p>
        </w:tc>
        <w:tc>
          <w:tcPr>
            <w:tcW w:w="2160" w:type="dxa"/>
          </w:tcPr>
          <w:p>
            <w:r>
              <w:t xml:space="preserve">Relecture avant diffusion</w:t>
            </w:r>
          </w:p>
        </w:tc>
      </w:tr>
      <w:tr>
        <w:tc>
          <w:tcPr>
            <w:tcW w:w="2160" w:type="dxa"/>
          </w:tcPr>
          <w:p>
            <w:r>
              <w:t xml:space="preserve">Analyse de données clients</w:t>
            </w:r>
          </w:p>
        </w:tc>
        <w:tc>
          <w:tcPr>
            <w:tcW w:w="2160" w:type="dxa"/>
          </w:tcPr>
          <w:p>
            <w:r>
              <w:t xml:space="preserve">Résumer des verbatims clients nominatifs</w:t>
            </w:r>
          </w:p>
        </w:tc>
        <w:tc>
          <w:tcPr>
            <w:tcW w:w="2160" w:type="dxa"/>
          </w:tcPr>
          <w:p>
            <w:r>
              <w:t xml:space="preserve">RESTREINT</w:t>
            </w:r>
          </w:p>
        </w:tc>
        <w:tc>
          <w:tcPr>
            <w:tcW w:w="2160" w:type="dxa"/>
          </w:tcPr>
          <w:p>
            <w:r>
              <w:t xml:space="preserve">Anonymisation préalable</w:t>
            </w:r>
          </w:p>
        </w:tc>
      </w:tr>
      <w:tr>
        <w:tc>
          <w:tcPr>
            <w:tcW w:w="2160" w:type="dxa"/>
          </w:tcPr>
          <w:p>
            <w:r>
              <w:t xml:space="preserve">Aide à la décision RH</w:t>
            </w:r>
          </w:p>
        </w:tc>
        <w:tc>
          <w:tcPr>
            <w:tcW w:w="2160" w:type="dxa"/>
          </w:tcPr>
          <w:p>
            <w:r>
              <w:t xml:space="preserve">Présélectionner des candidatures</w:t>
            </w:r>
          </w:p>
        </w:tc>
        <w:tc>
          <w:tcPr>
            <w:tcW w:w="2160" w:type="dxa"/>
          </w:tcPr>
          <w:p>
            <w:r>
              <w:t xml:space="preserve">RESTREINT</w:t>
            </w:r>
          </w:p>
        </w:tc>
        <w:tc>
          <w:tcPr>
            <w:tcW w:w="2160" w:type="dxa"/>
          </w:tcPr>
          <w:p>
            <w:r>
              <w:t xml:space="preserve">Supervision humaine obligatoire, décision jamais automatisée</w:t>
            </w:r>
          </w:p>
        </w:tc>
      </w:tr>
      <w:tr>
        <w:tc>
          <w:tcPr>
            <w:tcW w:w="2160" w:type="dxa"/>
          </w:tcPr>
          <w:p>
            <w:r>
              <w:t xml:space="preserve">Génération de code</w:t>
            </w:r>
          </w:p>
        </w:tc>
        <w:tc>
          <w:tcPr>
            <w:tcW w:w="2160" w:type="dxa"/>
          </w:tcPr>
          <w:p>
            <w:r>
              <w:t xml:space="preserve">Produire du code intégré à un projet client</w:t>
            </w:r>
          </w:p>
        </w:tc>
        <w:tc>
          <w:tcPr>
            <w:tcW w:w="2160" w:type="dxa"/>
          </w:tcPr>
          <w:p>
            <w:r>
              <w:t xml:space="preserve">RESTREINT</w:t>
            </w:r>
          </w:p>
        </w:tc>
        <w:tc>
          <w:tcPr>
            <w:tcW w:w="2160" w:type="dxa"/>
          </w:tcPr>
          <w:p>
            <w:r>
              <w:t xml:space="preserve">Revue par [rôle] et vérification des licences</w:t>
            </w:r>
          </w:p>
        </w:tc>
      </w:tr>
      <w:tr>
        <w:tc>
          <w:tcPr>
            <w:tcW w:w="2160" w:type="dxa"/>
          </w:tcPr>
          <w:p>
            <w:r>
              <w:t xml:space="preserve">Saisie de données personnelles</w:t>
            </w:r>
          </w:p>
        </w:tc>
        <w:tc>
          <w:tcPr>
            <w:tcW w:w="2160" w:type="dxa"/>
          </w:tcPr>
          <w:p>
            <w:r>
              <w:t xml:space="preserve">Coller un CV, un dossier médical, un fichier client</w:t>
            </w:r>
          </w:p>
        </w:tc>
        <w:tc>
          <w:tcPr>
            <w:tcW w:w="2160" w:type="dxa"/>
          </w:tcPr>
          <w:p>
            <w:r>
              <w:t xml:space="preserve">INTERDIT</w:t>
            </w:r>
          </w:p>
        </w:tc>
        <w:tc>
          <w:tcPr>
            <w:tcW w:w="2160" w:type="dxa"/>
          </w:tcPr>
          <w:p>
            <w:r>
              <w:t xml:space="preserve">—</w:t>
            </w:r>
          </w:p>
        </w:tc>
      </w:tr>
      <w:tr>
        <w:tc>
          <w:tcPr>
            <w:tcW w:w="2160" w:type="dxa"/>
          </w:tcPr>
          <w:p>
            <w:r>
              <w:t xml:space="preserve">Diffusion d'un contenu non vérifié</w:t>
            </w:r>
          </w:p>
        </w:tc>
        <w:tc>
          <w:tcPr>
            <w:tcW w:w="2160" w:type="dxa"/>
          </w:tcPr>
          <w:p>
            <w:r>
              <w:t xml:space="preserve">Publier un texte généré sans relecture</w:t>
            </w:r>
          </w:p>
        </w:tc>
        <w:tc>
          <w:tcPr>
            <w:tcW w:w="2160" w:type="dxa"/>
          </w:tcPr>
          <w:p>
            <w:r>
              <w:t xml:space="preserve">INTERDIT</w:t>
            </w:r>
          </w:p>
        </w:tc>
        <w:tc>
          <w:tcPr>
            <w:tcW w:w="2160" w:type="dxa"/>
          </w:tcPr>
          <w:p>
            <w:r>
              <w:t xml:space="preserve">—</w:t>
            </w:r>
          </w:p>
        </w:tc>
      </w:tr>
      <w:tr>
        <w:tc>
          <w:tcPr>
            <w:tcW w:w="2160" w:type="dxa"/>
          </w:tcPr>
          <w:p>
            <w:r>
              <w:t xml:space="preserve">`[votre usage]`</w:t>
            </w:r>
          </w:p>
        </w:tc>
        <w:tc>
          <w:tcPr>
            <w:tcW w:w="2160" w:type="dxa"/>
          </w:tcPr>
          <w:p>
            <w:r>
              <w:t xml:space="preserve">`[votre exemple]`</w:t>
            </w:r>
          </w:p>
        </w:tc>
        <w:tc>
          <w:tcPr>
            <w:tcW w:w="2160" w:type="dxa"/>
          </w:tcPr>
          <w:p>
            <w:r>
              <w:t xml:space="preserve">`[régime]`</w:t>
            </w:r>
          </w:p>
        </w:tc>
        <w:tc>
          <w:tcPr>
            <w:tcW w:w="2160" w:type="dxa"/>
          </w:tcPr>
          <w:p>
            <w:r>
              <w:t xml:space="preserve">`[condition]`</w:t>
            </w:r>
          </w:p>
        </w:tc>
      </w:tr>
    </w:tbl>
    <w:p/>
    <w:p>
      <w:pPr>
        <w:pStyle w:val="Titre1"/>
      </w:pPr>
      <w:r>
        <w:t xml:space="preserve">Article 4 — Responsabilité du collaborateur</w:t>
      </w:r>
    </w:p>
    <w:p>
      <w:r>
        <w:t xml:space="preserve">Chaque collaborateur reste responsable des résultats produits avec l'aide d'une IA </w:t>
      </w:r>
      <w:r>
        <w:rPr>
          <w:b/>
        </w:rPr>
        <w:t xml:space="preserve">comme s'il les avait produits lui-même</w:t>
      </w:r>
      <w:r>
        <w:t xml:space="preserve"> : exactitude du contenu, respect des droits de propriété intellectuelle, et absence de données protégées dans ses requêtes.</w:t>
      </w:r>
    </w:p>
    <w:p>
      <w:r>
        <w:t xml:space="preserve">L'usage d'une IA ne constitue en aucun cas une excuse en cas d'erreur, de contrefaçon ou de divulgation.</w:t>
      </w:r>
    </w:p>
    <w:p>
      <w:pPr>
        <w:pStyle w:val="Titre1"/>
      </w:pPr>
      <w:r>
        <w:t xml:space="preserve">Article 5 — Données personnelles</w:t>
      </w:r>
    </w:p>
    <w:p>
      <w:r>
        <w:t xml:space="preserve">Aucune donnée personnelle ne peut être saisie dans un outil non validé.</w:t>
      </w:r>
    </w:p>
    <w:p>
      <w:r>
        <w:t xml:space="preserve">Pour les outils validés, tout traitement suppose la vérification préalable de sa </w:t>
      </w:r>
      <w:r>
        <w:rPr>
          <w:b/>
        </w:rPr>
        <w:t xml:space="preserve">base légale</w:t>
      </w:r>
      <w:r>
        <w:t xml:space="preserve">, le respect du principe de </w:t>
      </w:r>
      <w:r>
        <w:rPr>
          <w:b/>
        </w:rPr>
        <w:t xml:space="preserve">minimisation</w:t>
      </w:r>
      <w:r>
        <w:t xml:space="preserve">, et, selon le traitement, la réalisation d'une </w:t>
      </w:r>
      <w:r>
        <w:rPr>
          <w:b/>
        </w:rPr>
        <w:t xml:space="preserve">analyse d'impact relative à la protection des données (AIPD)</w:t>
      </w:r>
      <w:r>
        <w:t xml:space="preserve">.</w:t>
      </w:r>
    </w:p>
    <w:p>
      <w:r>
        <w:t xml:space="preserve">Le traitement est inscrit au </w:t>
      </w:r>
      <w:r>
        <w:rPr>
          <w:b/>
        </w:rPr>
        <w:t xml:space="preserve">registre des traitements</w:t>
      </w:r>
      <w:r>
        <w:t xml:space="preserve"> de l'entreprise.</w:t>
      </w:r>
    </w:p>
    <w:p>
      <w:r>
        <w:t xml:space="preserve">Délégué à la protection des données / référent RGPD : </w:t>
      </w:r>
      <w:r>
        <w:rPr>
          <w:b/>
        </w:rPr>
        <w:t xml:space="preserve">[nom, fonction, adresse de contact]</w:t>
      </w:r>
      <w:r>
        <w:t xml:space="preserve">.</w:t>
      </w:r>
    </w:p>
    <w:p>
      <w:pPr>
        <w:pStyle w:val="Titre1"/>
      </w:pPr>
      <w:r>
        <w:t xml:space="preserve">Article 6 — Gouvernance, formation et sanctions</w:t>
      </w:r>
    </w:p>
    <w:p>
      <w:r>
        <w:rPr>
          <w:b/>
        </w:rPr>
        <w:t xml:space="preserve">Référent IA.</w:t>
      </w:r>
      <w:r>
        <w:t xml:space="preserve"> [Nom, fonction] tient à jour la liste des outils validés (annexe 1), instruit les demandes d'ajout et répond aux questions d'usage.</w:t>
      </w:r>
    </w:p>
    <w:p>
      <w:r>
        <w:rPr>
          <w:b/>
        </w:rPr>
        <w:t xml:space="preserve">Formation.</w:t>
      </w:r>
      <w:r>
        <w:t xml:space="preserve"> Une sensibilisation à l'usage de l'IA est organisée pour l'ensemble des personnes concernées, puis renouvelée à chaque évolution significative des outils. Cette obligation découle de l'article 4 de l'AI Act, applicable depuis le 2 février 2025. La tenue de ces sessions est tracée (feuille de présence, attestation).</w:t>
      </w:r>
    </w:p>
    <w:p>
      <w:r>
        <w:rPr>
          <w:b/>
        </w:rPr>
        <w:t xml:space="preserve">Sanctions.</w:t>
      </w:r>
      <w:r>
        <w:t xml:space="preserve"> </w:t>
      </w:r>
      <w:r>
        <w:rPr>
          <w:i/>
        </w:rPr>
        <w:t xml:space="preserve">(Variante A — entreprise dotée d'un règlement intérieur :)</w:t>
      </w:r>
      <w:r>
        <w:t xml:space="preserve"> Tout manquement aux règles de la présente charte est susceptible de constituer une faute disciplinaire, sanctionnée dans les conditions prévues par le règlement intérieur de l'entreprise.</w:t>
      </w:r>
    </w:p>
    <w:p>
      <w:r>
        <w:rPr>
          <w:i/>
        </w:rPr>
        <w:t xml:space="preserve">(Variante B — moins de 50 salariés, sans règlement intérieur :)</w:t>
      </w:r>
      <w:r>
        <w:t xml:space="preserve"> La présente charte est annexée au contrat de travail par [clause / avenant] signé par chaque collaborateur. Tout manquement engage la responsabilité contractuelle du collaborateur et peut justifier une sanction dans les conditions du droit commun du contrat de travail.</w:t>
      </w:r>
    </w:p>
    <w:p>
      <w:r>
        <w:t xml:space="preserve">&gt; ⚠️ Supprimer la variante non retenue. Sans l'une ou l'autre de ces bases, &gt; aucune sanction ne tient.</w:t>
      </w:r>
    </w:p>
    <w:p>
      <w:pPr>
        <w:pStyle w:val="Titre1"/>
      </w:pPr>
      <w:r>
        <w:t xml:space="preserve">Article 7 — Entrée en vigueur et révision</w:t>
      </w:r>
    </w:p>
    <w:p>
      <w:r>
        <w:t xml:space="preserve">La présente charte entre en vigueur le </w:t>
      </w:r>
      <w:r>
        <w:rPr>
          <w:b/>
        </w:rPr>
        <w:t xml:space="preserve">[JJ/MM/AAAA]</w:t>
      </w:r>
      <w:r>
        <w:t xml:space="preserve">.</w:t>
      </w:r>
    </w:p>
    <w:p>
      <w:pPr>
        <w:pStyle w:val="Citation"/>
      </w:pPr>
      <w:r>
        <w:t xml:space="preserve">(Si adossée au règlement intérieur : cette date ne peut être antérieure d'un mois à l'accomplissement des formalités de publicité — voir la checklist ci-dessous.)</w:t>
      </w:r>
    </w:p>
    <w:p>
      <w:r>
        <w:t xml:space="preserve">Elle est révisée </w:t>
      </w:r>
      <w:r>
        <w:rPr>
          <w:b/>
        </w:rPr>
        <w:t xml:space="preserve">[tous les six mois / tous les douze mois]</w:t>
      </w:r>
      <w:r>
        <w:t xml:space="preserve"> et à chaque évolution significative des outils utilisés ou de la réglementation applicable. Le calendrier de l'AI Act s'échelonne jusqu'en 2028 : une charte figée se périme vite.</w:t>
      </w:r>
    </w:p>
    <w:p>
      <w:r>
        <w:br w:type="page"/>
      </w:r>
    </w:p>
    <w:p>
      <w:pPr>
        <w:pStyle w:val="Titre1"/>
      </w:pPr>
      <w:r>
        <w:t xml:space="preserve">Annexe 1 — Liste des outils validés</w:t>
      </w:r>
    </w:p>
    <w:p>
      <w:pPr>
        <w:pStyle w:val="Citation"/>
      </w:pPr>
      <w:r>
        <w:t xml:space="preserve">(À tenir à jour par le référent IA. Tout outil absent de cette liste est réputé non validé.)</w:t>
      </w:r>
    </w:p>
    <w:tbl>
      <w:tblPr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blGrid>
        <w:gridCol w:w="1440"/>
        "/&gt;"/&gt;"/&gt;"/&gt;"/&gt;
      </w:tblGrid>
      <w:tr>
        <w:tc>
          <w:tcPr>
            <w:tcW w:w="1440" w:type="dxa"/>
          </w:tcPr>
          <w:p>
            <w:r>
              <w:rPr>
                <w:b/>
              </w:rPr>
              <w:t xml:space="preserve">Outil</w:t>
            </w:r>
          </w:p>
        </w:tc>
        <w:tc>
          <w:tcPr>
            <w:tcW w:w="1440" w:type="dxa"/>
          </w:tcPr>
          <w:p>
            <w:r>
              <w:rPr>
                <w:b/>
              </w:rPr>
              <w:t xml:space="preserve">Éditeur</w:t>
            </w:r>
          </w:p>
        </w:tc>
        <w:tc>
          <w:tcPr>
            <w:tcW w:w="1440" w:type="dxa"/>
          </w:tcPr>
          <w:p>
            <w:r>
              <w:rPr>
                <w:b/>
              </w:rPr>
              <w:t xml:space="preserve">Usage autorisé</w:t>
            </w:r>
          </w:p>
        </w:tc>
        <w:tc>
          <w:tcPr>
            <w:tcW w:w="1440" w:type="dxa"/>
          </w:tcPr>
          <w:p>
            <w:r>
              <w:rPr>
                <w:b/>
              </w:rPr>
              <w:t xml:space="preserve">Données admises</w:t>
            </w:r>
          </w:p>
        </w:tc>
        <w:tc>
          <w:tcPr>
            <w:tcW w:w="1440" w:type="dxa"/>
          </w:tcPr>
          <w:p>
            <w:r>
              <w:rPr>
                <w:b/>
              </w:rPr>
              <w:t xml:space="preserve">Version / offre</w:t>
            </w:r>
          </w:p>
        </w:tc>
        <w:tc>
          <w:tcPr>
            <w:tcW w:w="1440" w:type="dxa"/>
          </w:tcPr>
          <w:p>
            <w:r>
              <w:rPr>
                <w:b/>
              </w:rPr>
              <w:t xml:space="preserve">Date de validation</w:t>
            </w:r>
          </w:p>
        </w:tc>
      </w:tr>
      <w:tr>
        <w:tc>
          <w:tcPr>
            <w:tcW w:w="1440" w:type="dxa"/>
          </w:tcPr>
          <w:p>
            <w:r>
              <w:t xml:space="preserve">`[outil]`</w:t>
            </w:r>
          </w:p>
        </w:tc>
        <w:tc>
          <w:tcPr>
            <w:tcW w:w="1440" w:type="dxa"/>
          </w:tcPr>
          <w:p>
            <w:r>
              <w:t xml:space="preserve">`[éditeur]`</w:t>
            </w:r>
          </w:p>
        </w:tc>
        <w:tc>
          <w:tcPr>
            <w:tcW w:w="1440" w:type="dxa"/>
          </w:tcPr>
          <w:p>
            <w:r>
              <w:t xml:space="preserve">`[usage]`</w:t>
            </w:r>
          </w:p>
        </w:tc>
        <w:tc>
          <w:tcPr>
            <w:tcW w:w="1440" w:type="dxa"/>
          </w:tcPr>
          <w:p>
            <w:r>
              <w:t xml:space="preserve">`[types de données]`</w:t>
            </w:r>
          </w:p>
        </w:tc>
        <w:tc>
          <w:tcPr>
            <w:tcW w:w="1440" w:type="dxa"/>
          </w:tcPr>
          <w:p>
            <w:r>
              <w:t xml:space="preserve">`[offre entreprise ?]`</w:t>
            </w:r>
          </w:p>
        </w:tc>
        <w:tc>
          <w:tcPr>
            <w:tcW w:w="1440" w:type="dxa"/>
          </w:tcPr>
          <w:p>
            <w:r>
              <w:t xml:space="preserve">`[date]`</w:t>
            </w:r>
          </w:p>
        </w:tc>
      </w:tr>
    </w:tbl>
    <w:p/>
    <w:p>
      <w:pPr>
        <w:pStyle w:val="Titre1"/>
      </w:pPr>
      <w:r>
        <w:t xml:space="preserve">Annexe 2 — Checklist d'opposabilité</w:t>
      </w:r>
    </w:p>
    <w:p>
      <w:pPr>
        <w:pStyle w:val="Citation"/>
      </w:pPr>
      <w:r>
        <w:t xml:space="preserve">(Variante A — charte adossée au règlement intérieur. À dérouler dans l'ordre : une étape sautée rend le texte inopposable.)</w:t>
      </w:r>
    </w:p>
    <w:p>
      <w:pPr>
        <w:pStyle w:val="Listepuces"/>
      </w:pPr>
      <w:r>
        <w:t xml:space="preserve">[ ] Charte intégrée au règlement intérieur </w:t>
      </w:r>
      <w:r>
        <w:rPr>
          <w:b/>
        </w:rPr>
        <w:t xml:space="preserve">ou</w:t>
      </w:r>
      <w:r>
        <w:t xml:space="preserve"> renvoi explicite depuis       celui-ci</w:t>
      </w:r>
    </w:p>
    <w:p>
      <w:pPr>
        <w:pStyle w:val="Listepuces"/>
      </w:pPr>
      <w:r>
        <w:t xml:space="preserve">[ ] Avis du comité social et économique recueilli (article L.1321-4 du Code       du travail)</w:t>
      </w:r>
    </w:p>
    <w:p>
      <w:pPr>
        <w:pStyle w:val="Listepuces"/>
      </w:pPr>
      <w:r>
        <w:t xml:space="preserve">[ ] Transmission à l'inspection du travail en deux exemplaires, accompagnée       de l'avis du CSE</w:t>
      </w:r>
    </w:p>
    <w:p>
      <w:pPr>
        <w:pStyle w:val="Listepuces"/>
      </w:pPr>
      <w:r>
        <w:t xml:space="preserve">[ ] Formalités de publicité auprès des salariés (affichage, intranet)</w:t>
      </w:r>
    </w:p>
    <w:p>
      <w:pPr>
        <w:pStyle w:val="Listepuces"/>
      </w:pPr>
      <w:r>
        <w:t xml:space="preserve">[ ] Entrée en vigueur fixée </w:t>
      </w:r>
      <w:r>
        <w:rPr>
          <w:b/>
        </w:rPr>
        <w:t xml:space="preserve">au moins un mois</w:t>
      </w:r>
      <w:r>
        <w:t xml:space="preserve"> après ces formalités</w:t>
      </w:r>
    </w:p>
    <w:p>
      <w:pPr>
        <w:pStyle w:val="Listepuces"/>
      </w:pPr>
      <w:r>
        <w:t xml:space="preserve">[ ] Preuve de remise conservée (émargement, accusé de lecture)</w:t>
      </w:r>
    </w:p>
    <w:p>
      <w:pPr>
        <w:pStyle w:val="Listepuces"/>
      </w:pPr>
      <w:r>
        <w:t xml:space="preserve">[ ] Preuve de formation conservée (feuille de présence, attestation)</w:t>
      </w:r>
    </w:p>
    <w:p>
      <w:r>
        <w:t xml:space="preserve">&gt; Le dépôt au greffe du conseil de prud'hommes, longtemps exigé et encore &gt; mentionné par de nombreux modèles, a été supprimé par la loi n° 2026-403 du &gt; 26 mai 2026 de simplification de la vie économique.</w:t>
      </w:r>
    </w:p>
    <w:p>
      <w:pPr>
        <w:pStyle w:val="Citation"/>
      </w:pPr>
      <w:r>
        <w:t xml:space="preserve">(Variante B — moins de 50 salariés, charte adossée au contrat de travail.)</w:t>
      </w:r>
    </w:p>
    <w:p>
      <w:pPr>
        <w:pStyle w:val="Listepuces"/>
      </w:pPr>
      <w:r>
        <w:t xml:space="preserve">[ ] Clause ou avenant rédigé et annexé au contrat</w:t>
      </w:r>
    </w:p>
    <w:p>
      <w:pPr>
        <w:pStyle w:val="Listepuces"/>
      </w:pPr>
      <w:r>
        <w:t xml:space="preserve">[ ] Signature de chaque collaborateur recueillie et conservée</w:t>
      </w:r>
    </w:p>
    <w:p>
      <w:pPr>
        <w:pStyle w:val="Listepuces"/>
      </w:pPr>
      <w:r>
        <w:t xml:space="preserve">[ ] Volet externe intégré aux conditions générales pour les prestataires</w:t>
      </w:r>
    </w:p>
    <w:p>
      <w:pPr>
        <w:pStyle w:val="Listepuces"/>
      </w:pPr>
      <w:r>
        <w:t xml:space="preserve">[ ] Preuve de formation conservée</w:t>
      </w:r>
    </w:p>
    <w:p>
      <w:pPr>
        <w:pStyle w:val="Titre1"/>
      </w:pPr>
      <w:r>
        <w:t xml:space="preserve">Annexe 3 — Accusé de remise</w:t>
      </w:r>
    </w:p>
    <w:p>
      <w:r>
        <w:t xml:space="preserve">Je soussigné(e) </w:t>
      </w:r>
      <w:r>
        <w:rPr>
          <w:b/>
        </w:rPr>
        <w:t xml:space="preserve">[Prénom NOM]</w:t>
      </w:r>
      <w:r>
        <w:t xml:space="preserve">, </w:t>
      </w:r>
      <w:r>
        <w:rPr>
          <w:b/>
        </w:rPr>
        <w:t xml:space="preserve">[fonction]</w:t>
      </w:r>
      <w:r>
        <w:t xml:space="preserve">, reconnais avoir reçu un exemplaire de la charte d'utilisation de l'intelligence artificielle de [Nom de l'entreprise], version [1.0], en avoir pris connaissance et m'engage à en respecter les règles.</w:t>
      </w:r>
    </w:p>
    <w:p>
      <w:r>
        <w:t xml:space="preserve">Fait à </w:t>
      </w:r>
      <w:r>
        <w:rPr>
          <w:b/>
        </w:rPr>
        <w:t xml:space="preserve">[lieu]</w:t>
      </w:r>
      <w:r>
        <w:t xml:space="preserve">, le </w:t>
      </w:r>
      <w:r>
        <w:rPr>
          <w:b/>
        </w:rPr>
        <w:t xml:space="preserve">[JJ/MM/AAAA]</w:t>
      </w:r>
      <w:r>
        <w:t xml:space="preserve"> — Signature :</w:t>
      </w:r>
    </w:p>
    <w:p>
      <w:r>
        <w:br w:type="page"/>
      </w:r>
    </w:p>
    <w:p>
      <w:pPr>
        <w:pStyle w:val="Citation"/>
      </w:pPr>
      <w:r>
        <w:t xml:space="preserve">Ni affilié, ni sponsorisé, ni approuvé par OpenAI. ChatGPT est une marque déposée d'OpenAI.</w:t>
      </w:r>
    </w:p>
    <w:p>
      <w:pPr>
        <w:pStyle w:val="Citation"/>
      </w:pPr>
      <w:r>
        <w:t xml:space="preserve">Ni affilié, ni sponsorisé, ni approuvé par Microsoft. Copilot est une marque déposée de Microsoft.</w:t>
      </w:r>
    </w:p>
    <w:p>
      <w:pPr>
        <w:pStyle w:val="Citation"/>
      </w:pPr>
      <w:r>
        <w:t xml:space="preserve">Ni affilié, ni sponsorisé, ni approuvé par Mistral AI. Mistral AI est une marque déposée de Mistral AI SAS.</w:t>
      </w:r>
    </w:p>
    <w:sectPr>
      <w:footerReference w:type="default" r:id="rId90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30A71" w14:textId="77777777" w:rsidR="00BA75E5" w:rsidRDefault="00BA75E5">
      <w:pPr>
        <w:spacing w:after="0" w:line="240" w:lineRule="auto"/>
      </w:pPr>
      <w:r>
        <w:separator/>
      </w:r>
    </w:p>
  </w:endnote>
  <w:endnote w:type="continuationSeparator" w:id="0">
    <w:p w14:paraId="111DB871" w14:textId="77777777" w:rsidR="00BA75E5" w:rsidRDefault="00BA7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5"/>
        <w:color w:val="808080"/>
      </w:rPr>
      <w:t xml:space="preserve">Modèle de charte d’utilisation de l’intelligence artificielle — support pédagogique ACADIGIT — acadigit.com   Page </w:t>
    </w:r>
    <w:r>
      <w:rPr>
        <w:sz w:val="15"/>
        <w:color w:val="808080"/>
      </w:rPr>
      <w:fldChar w:fldCharType="begin"/>
    </w:r>
    <w:r>
      <w:rPr>
        <w:sz w:val="15"/>
        <w:color w:val="808080"/>
      </w:rPr>
      <w:instrText xml:space="preserve"> PAGE </w:instrText>
    </w:r>
    <w:r>
      <w:rPr>
        <w:sz w:val="15"/>
        <w:color w:val="808080"/>
      </w:rPr>
      <w:fldChar w:fldCharType="end"/>
    </w:r>
    <w:r>
      <w:rPr>
        <w:sz w:val="15"/>
        <w:color w:val="808080"/>
      </w:rPr>
      <w:t xml:space="preserve"> / </w:t>
    </w:r>
    <w:r>
      <w:rPr>
        <w:sz w:val="15"/>
        <w:color w:val="808080"/>
      </w:rPr>
      <w:fldChar w:fldCharType="begin"/>
    </w:r>
    <w:r>
      <w:rPr>
        <w:sz w:val="15"/>
        <w:color w:val="808080"/>
      </w:rPr>
      <w:instrText xml:space="preserve"> NUMPAGES </w:instrText>
    </w:r>
    <w:r>
      <w:rPr>
        <w:sz w:val="15"/>
        <w:color w:val="80808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9C5A6" w14:textId="77777777" w:rsidR="00867C9A" w:rsidRDefault="00885F3E">
    <w:pPr>
      <w:jc w:val="center"/>
    </w:pPr>
    <w:r w:rsidRPr="00F52D13">
      <w:rPr>
        <w:color w:val="808080"/>
        <w:sz w:val="15"/>
        <w:lang w:val="fr-FR"/>
      </w:rPr>
      <w:t xml:space="preserve">© 2026 ACADIGIT — Réservé aux participants. Reproduction et diffusion interdites.   </w:t>
    </w:r>
    <w:r>
      <w:rPr>
        <w:color w:val="808080"/>
        <w:sz w:val="15"/>
      </w:rPr>
      <w:t xml:space="preserve">acadigit.com   Page </w:t>
    </w:r>
    <w:r>
      <w:rPr>
        <w:color w:val="808080"/>
        <w:sz w:val="15"/>
      </w:rPr>
      <w:fldChar w:fldCharType="begin"/>
    </w:r>
    <w:r>
      <w:rPr>
        <w:color w:val="808080"/>
        <w:sz w:val="15"/>
      </w:rPr>
      <w:instrText xml:space="preserve"> PAGE </w:instrText>
    </w:r>
    <w:r>
      <w:rPr>
        <w:color w:val="808080"/>
        <w:sz w:val="15"/>
      </w:rPr>
      <w:fldChar w:fldCharType="separate"/>
    </w:r>
    <w:r w:rsidR="00F52D13">
      <w:rPr>
        <w:noProof/>
        <w:color w:val="808080"/>
        <w:sz w:val="15"/>
      </w:rPr>
      <w:t>1</w:t>
    </w:r>
    <w:r>
      <w:rPr>
        <w:color w:val="808080"/>
        <w:sz w:val="15"/>
      </w:rPr>
      <w:fldChar w:fldCharType="end"/>
    </w:r>
    <w:r>
      <w:rPr>
        <w:color w:val="808080"/>
        <w:sz w:val="15"/>
      </w:rPr>
      <w:t xml:space="preserve"> / </w:t>
    </w:r>
    <w:r>
      <w:rPr>
        <w:color w:val="808080"/>
        <w:sz w:val="15"/>
      </w:rPr>
      <w:fldChar w:fldCharType="begin"/>
    </w:r>
    <w:r>
      <w:rPr>
        <w:color w:val="808080"/>
        <w:sz w:val="15"/>
      </w:rPr>
      <w:instrText xml:space="preserve"> NUMPAGES </w:instrText>
    </w:r>
    <w:r>
      <w:rPr>
        <w:color w:val="808080"/>
        <w:sz w:val="15"/>
      </w:rPr>
      <w:fldChar w:fldCharType="separate"/>
    </w:r>
    <w:r w:rsidR="00F52D13">
      <w:rPr>
        <w:noProof/>
        <w:color w:val="808080"/>
        <w:sz w:val="15"/>
      </w:rPr>
      <w:t>2</w:t>
    </w:r>
    <w:r>
      <w:rPr>
        <w:color w:val="808080"/>
        <w:sz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2BD22" w14:textId="77777777" w:rsidR="00365046" w:rsidRDefault="0036504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DD92A" w14:textId="77777777" w:rsidR="00BA75E5" w:rsidRDefault="00BA75E5">
      <w:pPr>
        <w:spacing w:after="0" w:line="240" w:lineRule="auto"/>
      </w:pPr>
      <w:r>
        <w:separator/>
      </w:r>
    </w:p>
  </w:footnote>
  <w:footnote w:type="continuationSeparator" w:id="0">
    <w:p w14:paraId="49341D35" w14:textId="77777777" w:rsidR="00BA75E5" w:rsidRDefault="00BA75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BFF7F" w14:textId="77777777" w:rsidR="00365046" w:rsidRDefault="0036504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13E73" w14:textId="2A03C4D9" w:rsidR="00365046" w:rsidRPr="00365046" w:rsidRDefault="00365046" w:rsidP="00365046">
    <w:pPr>
      <w:pStyle w:val="En-tte"/>
      <w:jc w:val="center"/>
    </w:pPr>
    <w:r>
      <w:rPr>
        <w:noProof/>
      </w:rPr>
      <w:drawing>
        <wp:inline distT="0" distB="0" distL="0" distR="0" wp14:anchorId="6DA373A6" wp14:editId="0FE7E07F">
          <wp:extent cx="1469571" cy="287961"/>
          <wp:effectExtent l="0" t="0" r="0" b="0"/>
          <wp:docPr id="400968912" name="Graphiqu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0968912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7056" cy="2933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25E2B" w14:textId="77777777" w:rsidR="00365046" w:rsidRDefault="0036504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CCE5D5E"/>
    <w:multiLevelType w:val="hybridMultilevel"/>
    <w:tmpl w:val="BB8435AE"/>
    <w:lvl w:ilvl="0" w:tplc="1B4228E2"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34456942">
    <w:abstractNumId w:val="8"/>
  </w:num>
  <w:num w:numId="2" w16cid:durableId="1616910487">
    <w:abstractNumId w:val="6"/>
  </w:num>
  <w:num w:numId="3" w16cid:durableId="863250459">
    <w:abstractNumId w:val="5"/>
  </w:num>
  <w:num w:numId="4" w16cid:durableId="2063480384">
    <w:abstractNumId w:val="4"/>
  </w:num>
  <w:num w:numId="5" w16cid:durableId="1750078766">
    <w:abstractNumId w:val="7"/>
  </w:num>
  <w:num w:numId="6" w16cid:durableId="1982734014">
    <w:abstractNumId w:val="3"/>
  </w:num>
  <w:num w:numId="7" w16cid:durableId="2014019329">
    <w:abstractNumId w:val="2"/>
  </w:num>
  <w:num w:numId="8" w16cid:durableId="1844663664">
    <w:abstractNumId w:val="1"/>
  </w:num>
  <w:num w:numId="9" w16cid:durableId="723337240">
    <w:abstractNumId w:val="0"/>
  </w:num>
  <w:num w:numId="10" w16cid:durableId="7629912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stylePaneFormatFilter w:val="5624" w:allStyles="0" w:customStyles="0" w:latentStyles="1" w:stylesInUse="0" w:headingStyles="1" w:numberingStyles="0" w:tableStyles="0" w:directFormattingOnRuns="0" w:directFormattingOnParagraphs="1" w:directFormattingOnNumbering="1" w:directFormattingOnTables="0" w:clearFormatting="1" w:top3HeadingStyles="0" w:visibleStyles="1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30A5"/>
    <w:rsid w:val="0015074B"/>
    <w:rsid w:val="0029639D"/>
    <w:rsid w:val="00326F90"/>
    <w:rsid w:val="00365046"/>
    <w:rsid w:val="00480088"/>
    <w:rsid w:val="00867C9A"/>
    <w:rsid w:val="00885F3E"/>
    <w:rsid w:val="008906DD"/>
    <w:rsid w:val="008B6E13"/>
    <w:rsid w:val="00A14A7E"/>
    <w:rsid w:val="00A94A20"/>
    <w:rsid w:val="00AA1D8D"/>
    <w:rsid w:val="00B47730"/>
    <w:rsid w:val="00B6597F"/>
    <w:rsid w:val="00BA75E5"/>
    <w:rsid w:val="00CB0664"/>
    <w:rsid w:val="00D23A3B"/>
    <w:rsid w:val="00EC5D5B"/>
    <w:rsid w:val="00F52D1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1B7BA3"/>
  <w14:defaultImageDpi w14:val="300"/>
  <w15:docId w15:val="{BA121179-30D6-435A-AEF3-F8FA0AABF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D13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8B6E13"/>
    <w:pPr>
      <w:spacing w:after="100"/>
    </w:pPr>
  </w:style>
  <w:style w:type="character" w:styleId="Lienhypertexte">
    <w:name w:val="Hyperlink"/>
    <w:basedOn w:val="Policepardfaut"/>
    <w:uiPriority w:val="99"/>
    <w:unhideWhenUsed/>
    <w:rsid w:val="008B6E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cnil.fr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artificialintelligenceact.eu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nil.fr/fr/reglement-europeen-protection-donnee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artificialintelligenceact.eu/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www.cnil.fr/fr/reglement-europeen-protection-donnees" TargetMode="External"/><Relationship Id="rId14" Type="http://schemas.openxmlformats.org/officeDocument/2006/relationships/hyperlink" Target="https://artificialintelligenceact.eu/" TargetMode="External"/><Relationship Id="rId22" Type="http://schemas.openxmlformats.org/officeDocument/2006/relationships/theme" Target="theme/theme1.xml"/><Relationship Id="rId900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55</Pages>
  <Words>10195</Words>
  <Characters>56078</Characters>
  <Application>Microsoft Office Word</Application>
  <DocSecurity>0</DocSecurity>
  <Lines>467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66141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nicolas moynier</cp:lastModifiedBy>
  <cp:revision>8</cp:revision>
  <dcterms:created xsi:type="dcterms:W3CDTF">2013-12-23T23:15:00Z</dcterms:created>
  <dcterms:modified xsi:type="dcterms:W3CDTF">2026-07-26T14:47:00Z</dcterms:modified>
  <cp:category/>
</cp:coreProperties>
</file>